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</w:p>
    <w:p w:rsidR="00C940C8" w:rsidRPr="00D079AC" w:rsidRDefault="00D079AC" w:rsidP="00D079AC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05pt;margin-top:-48.9pt;width:286.5pt;height:81.75pt;z-index:251658240;mso-width-relative:margin;mso-height-relative:margin">
            <v:textbox>
              <w:txbxContent>
                <w:p w:rsidR="00D079AC" w:rsidRDefault="00D079AC" w:rsidP="00D079AC">
                  <w:pPr>
                    <w:spacing w:before="120" w:after="240"/>
                    <w:jc w:val="right"/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</w:pPr>
                  <w:r w:rsidRPr="00A057CC"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>DISPOSICION N° 1/</w:t>
                  </w:r>
                  <w:r w:rsidR="00164DB5"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>97</w:t>
                  </w:r>
                  <w:r w:rsidRPr="00A057CC"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>.-</w:t>
                  </w:r>
                </w:p>
                <w:p w:rsidR="00D079AC" w:rsidRPr="00A057CC" w:rsidRDefault="00164DB5" w:rsidP="00D079AC">
                  <w:pPr>
                    <w:spacing w:before="120" w:after="240"/>
                    <w:jc w:val="center"/>
                    <w:rPr>
                      <w:rFonts w:ascii="Bodoni MT Black" w:hAnsi="Bodoni MT Black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Bodoni MT Black" w:hAnsi="Bodoni MT Black"/>
                      <w:b/>
                      <w:sz w:val="20"/>
                      <w:szCs w:val="20"/>
                      <w:u w:val="single"/>
                    </w:rPr>
                    <w:t>INSCRIPCION TRACTO ABREVIADO</w:t>
                  </w:r>
                </w:p>
                <w:p w:rsidR="00D079AC" w:rsidRDefault="00D079AC" w:rsidP="00D079AC"/>
              </w:txbxContent>
            </v:textbox>
          </v:shape>
        </w:pic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  <w:t>Formosa,15 de Octubre de 1997.-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 xml:space="preserve">Visto lo </w:t>
      </w:r>
      <w:r w:rsidR="00D079AC" w:rsidRPr="00D079AC">
        <w:rPr>
          <w:rFonts w:ascii="Arial" w:hAnsi="Arial" w:cs="Arial"/>
        </w:rPr>
        <w:t>dispuesto</w:t>
      </w:r>
      <w:r w:rsidRPr="00D079AC">
        <w:rPr>
          <w:rFonts w:ascii="Arial" w:hAnsi="Arial" w:cs="Arial"/>
        </w:rPr>
        <w:t xml:space="preserve"> por el </w:t>
      </w:r>
      <w:r w:rsidR="00D079AC" w:rsidRPr="00D079AC">
        <w:rPr>
          <w:rFonts w:ascii="Arial" w:hAnsi="Arial" w:cs="Arial"/>
        </w:rPr>
        <w:t>artículo</w:t>
      </w:r>
      <w:r w:rsidRPr="00D079AC">
        <w:rPr>
          <w:rFonts w:ascii="Arial" w:hAnsi="Arial" w:cs="Arial"/>
        </w:rPr>
        <w:t xml:space="preserve"> 16 de</w:t>
      </w:r>
      <w:r w:rsidRPr="00D079AC">
        <w:rPr>
          <w:rFonts w:ascii="Arial" w:hAnsi="Arial" w:cs="Arial"/>
        </w:rPr>
        <w:t xml:space="preserve"> la ley 17.801, y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>CONSIDERANDO:</w:t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 xml:space="preserve">  </w:t>
      </w:r>
      <w:r w:rsidRPr="00D079AC">
        <w:rPr>
          <w:rFonts w:ascii="Arial" w:hAnsi="Arial" w:cs="Arial"/>
        </w:rPr>
        <w:tab/>
        <w:t xml:space="preserve">   Que el mencionado </w:t>
      </w:r>
      <w:r w:rsidR="00D079AC" w:rsidRPr="00D079AC">
        <w:rPr>
          <w:rFonts w:ascii="Arial" w:hAnsi="Arial" w:cs="Arial"/>
        </w:rPr>
        <w:t>artículo</w:t>
      </w:r>
      <w:r w:rsidRPr="00D079AC">
        <w:rPr>
          <w:rFonts w:ascii="Arial" w:hAnsi="Arial" w:cs="Arial"/>
        </w:rPr>
        <w:t xml:space="preserve"> </w:t>
      </w:r>
      <w:r w:rsidR="00D079AC" w:rsidRPr="00D079AC">
        <w:rPr>
          <w:rFonts w:ascii="Arial" w:hAnsi="Arial" w:cs="Arial"/>
        </w:rPr>
        <w:t>regula</w:t>
      </w:r>
      <w:r w:rsidRPr="00D079AC">
        <w:rPr>
          <w:rFonts w:ascii="Arial" w:hAnsi="Arial" w:cs="Arial"/>
        </w:rPr>
        <w:t xml:space="preserve"> los supuestos denominados de tracto abreviado en los que es exigible el requisito de identidad del titular registral y del disponente del derecho,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prescripto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como norma general en el</w:t>
      </w:r>
      <w:r w:rsidRPr="00D079AC">
        <w:rPr>
          <w:rFonts w:ascii="Arial" w:hAnsi="Arial" w:cs="Arial"/>
        </w:rPr>
        <w:t xml:space="preserve"> </w:t>
      </w:r>
      <w:r w:rsidR="00D079AC" w:rsidRPr="00D079AC">
        <w:rPr>
          <w:rFonts w:ascii="Arial" w:hAnsi="Arial" w:cs="Arial"/>
        </w:rPr>
        <w:t>artículo</w:t>
      </w:r>
      <w:r w:rsidRPr="00D079AC">
        <w:rPr>
          <w:rFonts w:ascii="Arial" w:hAnsi="Arial" w:cs="Arial"/>
        </w:rPr>
        <w:t xml:space="preserve"> 15 de la ley 17.801;</w:t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 xml:space="preserve">Que, las </w:t>
      </w:r>
      <w:r w:rsidR="00D079AC" w:rsidRPr="00D079AC">
        <w:rPr>
          <w:rFonts w:ascii="Arial" w:hAnsi="Arial" w:cs="Arial"/>
        </w:rPr>
        <w:t>características</w:t>
      </w:r>
      <w:r w:rsidRPr="00D079AC">
        <w:rPr>
          <w:rFonts w:ascii="Arial" w:hAnsi="Arial" w:cs="Arial"/>
        </w:rPr>
        <w:t xml:space="preserve"> excepcionales del tracto abreviado requieren una regulación especificada,</w:t>
      </w:r>
      <w:r w:rsidR="00D079AC">
        <w:rPr>
          <w:rFonts w:ascii="Arial" w:hAnsi="Arial" w:cs="Arial"/>
        </w:rPr>
        <w:t xml:space="preserve"> </w:t>
      </w:r>
      <w:r w:rsidR="00D079AC" w:rsidRPr="00D079AC">
        <w:rPr>
          <w:rFonts w:ascii="Arial" w:hAnsi="Arial" w:cs="Arial"/>
        </w:rPr>
        <w:t>diferencia</w:t>
      </w:r>
      <w:r w:rsidRPr="00D079AC">
        <w:rPr>
          <w:rFonts w:ascii="Arial" w:hAnsi="Arial" w:cs="Arial"/>
        </w:rPr>
        <w:t xml:space="preserve"> para los distintos supuestos, y suficientemente particularizada como para evitar dudas interpretati</w:t>
      </w:r>
      <w:r w:rsidRPr="00D079AC">
        <w:rPr>
          <w:rFonts w:ascii="Arial" w:hAnsi="Arial" w:cs="Arial"/>
        </w:rPr>
        <w:t>vas al momento de practicar los asientos resultantes;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>Que,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asimismo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 xml:space="preserve">deben </w:t>
      </w:r>
      <w:r w:rsidR="00D079AC" w:rsidRPr="00D079AC">
        <w:rPr>
          <w:rFonts w:ascii="Arial" w:hAnsi="Arial" w:cs="Arial"/>
        </w:rPr>
        <w:t>también</w:t>
      </w:r>
      <w:r w:rsidRPr="00D079AC">
        <w:rPr>
          <w:rFonts w:ascii="Arial" w:hAnsi="Arial" w:cs="Arial"/>
        </w:rPr>
        <w:t xml:space="preserve"> ser regulados los casos aludidos en el inciso d) del art.16 (</w:t>
      </w:r>
      <w:r w:rsidR="00D079AC" w:rsidRPr="00D079AC">
        <w:rPr>
          <w:rFonts w:ascii="Arial" w:hAnsi="Arial" w:cs="Arial"/>
        </w:rPr>
        <w:t>instrumentaciones</w:t>
      </w:r>
      <w:r w:rsidRPr="00D079AC">
        <w:rPr>
          <w:rFonts w:ascii="Arial" w:hAnsi="Arial" w:cs="Arial"/>
        </w:rPr>
        <w:t xml:space="preserve"> simultáneas),los cuales plantean una modalidad distinta a la de las transmisiones sucesorias;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>Que para ello,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debe tenerse presente que la norma respectiva se orienta como en los anteriores,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también a la registración autónoma de la transmisión o constitución del derecho real en la medida en que la limitación para disponer resulte del mismo documento</w:t>
      </w:r>
      <w:r w:rsidRPr="00D079AC">
        <w:rPr>
          <w:rFonts w:ascii="Arial" w:hAnsi="Arial" w:cs="Arial"/>
        </w:rPr>
        <w:t>s;</w:t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 xml:space="preserve"> 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D079AC" w:rsidP="00D079AC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Que en tal sentido </w:t>
      </w:r>
      <w:r w:rsidR="00E66BBB" w:rsidRPr="00D079AC">
        <w:rPr>
          <w:rFonts w:ascii="Arial" w:hAnsi="Arial" w:cs="Arial"/>
        </w:rPr>
        <w:t>y cuando se trate de transmisiones simultáneas,</w:t>
      </w:r>
      <w:r>
        <w:rPr>
          <w:rFonts w:ascii="Arial" w:hAnsi="Arial" w:cs="Arial"/>
        </w:rPr>
        <w:t xml:space="preserve"> </w:t>
      </w:r>
      <w:r w:rsidR="00E66BBB" w:rsidRPr="00D079AC">
        <w:rPr>
          <w:rFonts w:ascii="Arial" w:hAnsi="Arial" w:cs="Arial"/>
        </w:rPr>
        <w:t xml:space="preserve">solo es </w:t>
      </w:r>
      <w:r w:rsidR="00E66BBB" w:rsidRPr="00D079AC">
        <w:rPr>
          <w:rFonts w:ascii="Arial" w:hAnsi="Arial" w:cs="Arial"/>
        </w:rPr>
        <w:lastRenderedPageBreak/>
        <w:t xml:space="preserve">registrable la </w:t>
      </w:r>
      <w:r w:rsidRPr="00D079AC">
        <w:rPr>
          <w:rFonts w:ascii="Arial" w:hAnsi="Arial" w:cs="Arial"/>
        </w:rPr>
        <w:t>última</w:t>
      </w:r>
      <w:r w:rsidR="00E66BBB" w:rsidRPr="00D079AC">
        <w:rPr>
          <w:rFonts w:ascii="Arial" w:hAnsi="Arial" w:cs="Arial"/>
        </w:rPr>
        <w:t xml:space="preserve"> de ellas en la que,</w:t>
      </w:r>
      <w:r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conforme</w:t>
      </w:r>
      <w:r w:rsidR="00E66BBB" w:rsidRPr="00D079AC">
        <w:rPr>
          <w:rFonts w:ascii="Arial" w:hAnsi="Arial" w:cs="Arial"/>
        </w:rPr>
        <w:t xml:space="preserve"> lo dispone el </w:t>
      </w:r>
      <w:r w:rsidRPr="00D079AC">
        <w:rPr>
          <w:rFonts w:ascii="Arial" w:hAnsi="Arial" w:cs="Arial"/>
        </w:rPr>
        <w:t>artículo</w:t>
      </w:r>
      <w:r w:rsidR="00E66BBB" w:rsidRPr="00D079AC">
        <w:rPr>
          <w:rFonts w:ascii="Arial" w:hAnsi="Arial" w:cs="Arial"/>
        </w:rPr>
        <w:t xml:space="preserve"> 16,”in fines”,</w:t>
      </w:r>
      <w:r>
        <w:rPr>
          <w:rFonts w:ascii="Arial" w:hAnsi="Arial" w:cs="Arial"/>
        </w:rPr>
        <w:t xml:space="preserve"> </w:t>
      </w:r>
      <w:r w:rsidR="00E66BBB" w:rsidRPr="00D079AC">
        <w:rPr>
          <w:rFonts w:ascii="Arial" w:hAnsi="Arial" w:cs="Arial"/>
        </w:rPr>
        <w:t xml:space="preserve">de la ley 17.801,se habrá hecho la relación de antecedentes necesaria para legitimar a </w:t>
      </w:r>
      <w:r w:rsidR="00E66BBB" w:rsidRPr="00D079AC">
        <w:rPr>
          <w:rFonts w:ascii="Arial" w:hAnsi="Arial" w:cs="Arial"/>
        </w:rPr>
        <w:t>quien figura como disponente sin ser el titular inscripto.</w:t>
      </w:r>
      <w:r>
        <w:rPr>
          <w:rFonts w:ascii="Arial" w:hAnsi="Arial" w:cs="Arial"/>
        </w:rPr>
        <w:t xml:space="preserve"> </w:t>
      </w:r>
      <w:r w:rsidR="00E66BBB" w:rsidRPr="00D079AC">
        <w:rPr>
          <w:rFonts w:ascii="Arial" w:hAnsi="Arial" w:cs="Arial"/>
        </w:rPr>
        <w:t xml:space="preserve">En dicho relación deberá aparecer el negocio causal a partir del </w:t>
      </w:r>
      <w:r w:rsidRPr="00D079AC">
        <w:rPr>
          <w:rFonts w:ascii="Arial" w:hAnsi="Arial" w:cs="Arial"/>
        </w:rPr>
        <w:t>título</w:t>
      </w:r>
      <w:r w:rsidR="00E66BBB" w:rsidRPr="00D079AC">
        <w:rPr>
          <w:rFonts w:ascii="Arial" w:hAnsi="Arial" w:cs="Arial"/>
        </w:rPr>
        <w:t xml:space="preserve"> inscrito hasta llegar derivativamente a quien resulte titular en el documento presentado a inscribir ;</w:t>
      </w:r>
      <w:r w:rsidR="00E66BBB" w:rsidRPr="00D079AC">
        <w:rPr>
          <w:rFonts w:ascii="Arial" w:hAnsi="Arial" w:cs="Arial"/>
        </w:rPr>
        <w:tab/>
      </w:r>
      <w:r w:rsidR="00E66BBB" w:rsidRPr="00D079AC">
        <w:rPr>
          <w:rFonts w:ascii="Arial" w:hAnsi="Arial" w:cs="Arial"/>
        </w:rPr>
        <w:tab/>
      </w:r>
      <w:r w:rsidR="00E66BBB" w:rsidRPr="00D079AC">
        <w:rPr>
          <w:rFonts w:ascii="Arial" w:hAnsi="Arial" w:cs="Arial"/>
        </w:rPr>
        <w:tab/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  <w:t>Por ello,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de l</w:t>
      </w:r>
      <w:r w:rsidRPr="00D079AC">
        <w:rPr>
          <w:rFonts w:ascii="Arial" w:hAnsi="Arial" w:cs="Arial"/>
        </w:rPr>
        <w:t xml:space="preserve">as </w:t>
      </w:r>
      <w:r w:rsidR="00D079AC" w:rsidRPr="00D079AC">
        <w:rPr>
          <w:rFonts w:ascii="Arial" w:hAnsi="Arial" w:cs="Arial"/>
        </w:rPr>
        <w:t>atribuciones</w:t>
      </w:r>
      <w:r w:rsidRPr="00D079AC">
        <w:rPr>
          <w:rFonts w:ascii="Arial" w:hAnsi="Arial" w:cs="Arial"/>
        </w:rPr>
        <w:t xml:space="preserve"> que le confieres la ley,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  <w:t>EL SECRETARIO GENERAL A CARGO DE LA DIRECCION</w:t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  <w:t>DEL REGISTRO DE LA PROPIEDAD INMUEBLE</w:t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  <w:t>DISPONE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>Articulo 1°,Cuando en los documentos presentados  a inscribir figure como disponente del derecho pers</w:t>
      </w:r>
      <w:r w:rsidRPr="00D079AC">
        <w:rPr>
          <w:rFonts w:ascii="Arial" w:hAnsi="Arial" w:cs="Arial"/>
        </w:rPr>
        <w:t>ona distinta de la que consta como titular en el asiento registral,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 xml:space="preserve">sólo podrá tomarse razón del documento si se tratare de alguno de los supuestos enumerados en el </w:t>
      </w:r>
      <w:r w:rsidR="00D079AC" w:rsidRPr="00D079AC">
        <w:rPr>
          <w:rFonts w:ascii="Arial" w:hAnsi="Arial" w:cs="Arial"/>
        </w:rPr>
        <w:t>artículo</w:t>
      </w:r>
      <w:r w:rsidRPr="00D079AC">
        <w:rPr>
          <w:rFonts w:ascii="Arial" w:hAnsi="Arial" w:cs="Arial"/>
        </w:rPr>
        <w:t xml:space="preserve"> 16 de la ley 17.801, y se cumplieran,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 xml:space="preserve">además de los exigidos por dicho </w:t>
      </w:r>
      <w:r w:rsidR="00D079AC" w:rsidRPr="00D079AC">
        <w:rPr>
          <w:rFonts w:ascii="Arial" w:hAnsi="Arial" w:cs="Arial"/>
        </w:rPr>
        <w:t>artículo</w:t>
      </w:r>
      <w:r w:rsidRPr="00D079AC">
        <w:rPr>
          <w:rFonts w:ascii="Arial" w:hAnsi="Arial" w:cs="Arial"/>
        </w:rPr>
        <w:t>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 xml:space="preserve">los </w:t>
      </w:r>
      <w:r w:rsidRPr="00D079AC">
        <w:rPr>
          <w:rFonts w:ascii="Arial" w:hAnsi="Arial" w:cs="Arial"/>
        </w:rPr>
        <w:t>que establece la presente.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 xml:space="preserve">Articulo 2°.-En los casos indicados por los </w:t>
      </w:r>
      <w:r w:rsidR="00D079AC" w:rsidRPr="00D079AC">
        <w:rPr>
          <w:rFonts w:ascii="Arial" w:hAnsi="Arial" w:cs="Arial"/>
        </w:rPr>
        <w:t>incisos</w:t>
      </w:r>
      <w:r w:rsidRPr="00D079AC">
        <w:rPr>
          <w:rFonts w:ascii="Arial" w:hAnsi="Arial" w:cs="Arial"/>
        </w:rPr>
        <w:t xml:space="preserve"> a y b del </w:t>
      </w:r>
      <w:r w:rsidR="00D079AC" w:rsidRPr="00D079AC">
        <w:rPr>
          <w:rFonts w:ascii="Arial" w:hAnsi="Arial" w:cs="Arial"/>
        </w:rPr>
        <w:t>artículo</w:t>
      </w:r>
      <w:r w:rsidRPr="00D079AC">
        <w:rPr>
          <w:rFonts w:ascii="Arial" w:hAnsi="Arial" w:cs="Arial"/>
        </w:rPr>
        <w:t xml:space="preserve"> 16 de la Ley. Si los otorgantes del documento fueren los here</w:t>
      </w:r>
      <w:r w:rsidR="00D079AC">
        <w:rPr>
          <w:rFonts w:ascii="Arial" w:hAnsi="Arial" w:cs="Arial"/>
        </w:rPr>
        <w:t xml:space="preserve">deros declarados o constituidos </w:t>
      </w:r>
      <w:r w:rsidRPr="00D079AC">
        <w:rPr>
          <w:rFonts w:ascii="Arial" w:hAnsi="Arial" w:cs="Arial"/>
        </w:rPr>
        <w:t xml:space="preserve">de él  deberá resultar que en </w:t>
      </w:r>
      <w:r w:rsidR="00D079AC" w:rsidRPr="00D079AC">
        <w:rPr>
          <w:rFonts w:ascii="Arial" w:hAnsi="Arial" w:cs="Arial"/>
        </w:rPr>
        <w:t>el expediente sucesorio respectivo</w:t>
      </w:r>
      <w:r w:rsidRPr="00D079AC">
        <w:rPr>
          <w:rFonts w:ascii="Arial" w:hAnsi="Arial" w:cs="Arial"/>
        </w:rPr>
        <w:t xml:space="preserve"> se ha dictado la declaratoria de herederos o aprobado testamento y ha sido ordenada la inscripción y se encuentra habitada la instancia para ella.</w:t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>No será necesaria la transcripción literal de las resoluciones judiciales respectivas,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pera la referenci</w:t>
      </w:r>
      <w:r w:rsidRPr="00D079AC">
        <w:rPr>
          <w:rFonts w:ascii="Arial" w:hAnsi="Arial" w:cs="Arial"/>
        </w:rPr>
        <w:t>a a ellas ha de ser precisa,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con indicación de la fecha y la foja del expediente sucesorio,</w:t>
      </w:r>
      <w:r w:rsidR="00D079AC">
        <w:rPr>
          <w:rFonts w:ascii="Arial" w:hAnsi="Arial" w:cs="Arial"/>
        </w:rPr>
        <w:t xml:space="preserve"> </w:t>
      </w:r>
      <w:r w:rsidR="00D079AC" w:rsidRPr="00D079AC">
        <w:rPr>
          <w:rFonts w:ascii="Arial" w:hAnsi="Arial" w:cs="Arial"/>
        </w:rPr>
        <w:t>así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como la carátula y del juzgado.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Secretaria,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fuero y jurisdicción donde ha tramitado.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 xml:space="preserve">Articulo 3°.-En el supuesto indicado por el inciso a),del </w:t>
      </w:r>
      <w:proofErr w:type="spellStart"/>
      <w:r w:rsidRPr="00D079AC">
        <w:rPr>
          <w:rFonts w:ascii="Arial" w:hAnsi="Arial" w:cs="Arial"/>
        </w:rPr>
        <w:t>articulo</w:t>
      </w:r>
      <w:proofErr w:type="spellEnd"/>
      <w:r w:rsidRPr="00D079AC">
        <w:rPr>
          <w:rFonts w:ascii="Arial" w:hAnsi="Arial" w:cs="Arial"/>
        </w:rPr>
        <w:t xml:space="preserve"> 16 de la L</w:t>
      </w:r>
      <w:r w:rsidRPr="00D079AC">
        <w:rPr>
          <w:rFonts w:ascii="Arial" w:hAnsi="Arial" w:cs="Arial"/>
        </w:rPr>
        <w:t xml:space="preserve">ey </w:t>
      </w:r>
      <w:r w:rsidRPr="00D079AC">
        <w:rPr>
          <w:rFonts w:ascii="Arial" w:hAnsi="Arial" w:cs="Arial"/>
        </w:rPr>
        <w:lastRenderedPageBreak/>
        <w:t xml:space="preserve">17.801,si el documento fuere otorgado por los jueces no se </w:t>
      </w:r>
      <w:r w:rsidR="00D079AC" w:rsidRPr="00D079AC">
        <w:rPr>
          <w:rFonts w:ascii="Arial" w:hAnsi="Arial" w:cs="Arial"/>
        </w:rPr>
        <w:t>requerirá</w:t>
      </w:r>
      <w:r w:rsidRPr="00D079AC">
        <w:rPr>
          <w:rFonts w:ascii="Arial" w:hAnsi="Arial" w:cs="Arial"/>
        </w:rPr>
        <w:t xml:space="preserve"> el cumplimiento de los requisitos establecidos en el </w:t>
      </w:r>
      <w:r w:rsidR="00D079AC" w:rsidRPr="00D079AC">
        <w:rPr>
          <w:rFonts w:ascii="Arial" w:hAnsi="Arial" w:cs="Arial"/>
        </w:rPr>
        <w:t>artículo</w:t>
      </w:r>
      <w:r w:rsidRPr="00D079AC">
        <w:rPr>
          <w:rFonts w:ascii="Arial" w:hAnsi="Arial" w:cs="Arial"/>
        </w:rPr>
        <w:t xml:space="preserve"> anterior,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sin perjuicio de la relación de antecedente que deberá efectuarse a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los afectos de la continuidad del tracto.</w:t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 xml:space="preserve">En </w:t>
      </w:r>
      <w:r w:rsidRPr="00D079AC">
        <w:rPr>
          <w:rFonts w:ascii="Arial" w:hAnsi="Arial" w:cs="Arial"/>
        </w:rPr>
        <w:t>este caso,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como en el supuesto de que el documento se otorgue por lo herederos,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 xml:space="preserve">deberá resultar </w:t>
      </w:r>
      <w:r w:rsidR="00D079AC" w:rsidRPr="00D079AC">
        <w:rPr>
          <w:rFonts w:ascii="Arial" w:hAnsi="Arial" w:cs="Arial"/>
        </w:rPr>
        <w:t>también</w:t>
      </w:r>
      <w:r w:rsidRPr="00D079AC">
        <w:rPr>
          <w:rFonts w:ascii="Arial" w:hAnsi="Arial" w:cs="Arial"/>
        </w:rPr>
        <w:t xml:space="preserve"> de él que el otorgamiento se hace  “en cumplimiento de contratos u obligaciones </w:t>
      </w:r>
      <w:r w:rsidR="00D079AC" w:rsidRPr="00D079AC">
        <w:rPr>
          <w:rFonts w:ascii="Arial" w:hAnsi="Arial" w:cs="Arial"/>
        </w:rPr>
        <w:t>contraídas</w:t>
      </w:r>
      <w:r w:rsidRPr="00D079AC">
        <w:rPr>
          <w:rFonts w:ascii="Arial" w:hAnsi="Arial" w:cs="Arial"/>
        </w:rPr>
        <w:t xml:space="preserve"> envida por el causante o su cónyuge sobre los bienes registrado</w:t>
      </w:r>
      <w:r w:rsidRPr="00D079AC">
        <w:rPr>
          <w:rFonts w:ascii="Arial" w:hAnsi="Arial" w:cs="Arial"/>
        </w:rPr>
        <w:t>s a su nombre”,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 xml:space="preserve">efectuado referencia a la resolución o autorización expresa judicial que </w:t>
      </w:r>
      <w:r w:rsidR="00D079AC" w:rsidRPr="00D079AC">
        <w:rPr>
          <w:rFonts w:ascii="Arial" w:hAnsi="Arial" w:cs="Arial"/>
        </w:rPr>
        <w:t>así</w:t>
      </w:r>
      <w:r w:rsidRPr="00D079AC">
        <w:rPr>
          <w:rFonts w:ascii="Arial" w:hAnsi="Arial" w:cs="Arial"/>
        </w:rPr>
        <w:t xml:space="preserve"> lo declare.</w:t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 xml:space="preserve">   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 xml:space="preserve">Articulo 4° En el supuesto del inciso c) del </w:t>
      </w:r>
      <w:r w:rsidR="00D079AC" w:rsidRPr="00D079AC">
        <w:rPr>
          <w:rFonts w:ascii="Arial" w:hAnsi="Arial" w:cs="Arial"/>
        </w:rPr>
        <w:t>artículo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 xml:space="preserve">16, la </w:t>
      </w:r>
      <w:r w:rsidR="00D079AC" w:rsidRPr="00D079AC">
        <w:rPr>
          <w:rFonts w:ascii="Arial" w:hAnsi="Arial" w:cs="Arial"/>
        </w:rPr>
        <w:t>referencia</w:t>
      </w:r>
      <w:r w:rsidRPr="00D079AC">
        <w:rPr>
          <w:rFonts w:ascii="Arial" w:hAnsi="Arial" w:cs="Arial"/>
        </w:rPr>
        <w:t xml:space="preserve"> se hará extensiva a la resolución que aprueba la partición o la homologa,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s</w:t>
      </w:r>
      <w:r w:rsidRPr="00D079AC">
        <w:rPr>
          <w:rFonts w:ascii="Arial" w:hAnsi="Arial" w:cs="Arial"/>
        </w:rPr>
        <w:t>in perjuicio de lo dispuesto por la normativa del Código Procesal Civil y Comercial de la Provincia.</w:t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 xml:space="preserve">   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 xml:space="preserve">Articulo 5”.-En el supuesto enumerado en el inciso d) del </w:t>
      </w:r>
      <w:r w:rsidR="00D079AC" w:rsidRPr="00D079AC">
        <w:rPr>
          <w:rFonts w:ascii="Arial" w:hAnsi="Arial" w:cs="Arial"/>
        </w:rPr>
        <w:t>artículo</w:t>
      </w:r>
      <w:r w:rsidRPr="00D079AC">
        <w:rPr>
          <w:rFonts w:ascii="Arial" w:hAnsi="Arial" w:cs="Arial"/>
        </w:rPr>
        <w:t xml:space="preserve"> 16 se entenderá por instrumentaciones simultáneas las autorizadas en un mismo acto</w:t>
      </w:r>
      <w:r w:rsidRPr="00D079AC">
        <w:rPr>
          <w:rFonts w:ascii="Arial" w:hAnsi="Arial" w:cs="Arial"/>
        </w:rPr>
        <w:t>.</w:t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>En tal caso y tratándose de transmisiones de dominio,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será registrable la última efectuada,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de la que deberá resultar la relación de antecedentes necesarias para legitimar a quien figura como disponente a partir del titular inscripto,</w:t>
      </w:r>
      <w:r w:rsidR="00D079AC">
        <w:rPr>
          <w:rFonts w:ascii="Arial" w:hAnsi="Arial" w:cs="Arial"/>
        </w:rPr>
        <w:t xml:space="preserve"> </w:t>
      </w:r>
      <w:r w:rsidRPr="00D079AC">
        <w:rPr>
          <w:rFonts w:ascii="Arial" w:hAnsi="Arial" w:cs="Arial"/>
        </w:rPr>
        <w:t>indicándose con preci</w:t>
      </w:r>
      <w:r w:rsidRPr="00D079AC">
        <w:rPr>
          <w:rFonts w:ascii="Arial" w:hAnsi="Arial" w:cs="Arial"/>
        </w:rPr>
        <w:t>sión el o los negocios causales que le confieren tal legitimación.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  <w:t xml:space="preserve">Articulo 6°.-Notifiquese y </w:t>
      </w:r>
      <w:r w:rsidR="00D079AC" w:rsidRPr="00D079AC">
        <w:rPr>
          <w:rFonts w:ascii="Arial" w:hAnsi="Arial" w:cs="Arial"/>
        </w:rPr>
        <w:t>comuníquese</w:t>
      </w:r>
      <w:r w:rsidRPr="00D079AC">
        <w:rPr>
          <w:rFonts w:ascii="Arial" w:hAnsi="Arial" w:cs="Arial"/>
        </w:rPr>
        <w:t xml:space="preserve"> a quienes corresponda,</w:t>
      </w:r>
      <w:r w:rsidR="00D079AC">
        <w:rPr>
          <w:rFonts w:ascii="Arial" w:hAnsi="Arial" w:cs="Arial"/>
        </w:rPr>
        <w:t xml:space="preserve"> </w:t>
      </w:r>
      <w:r w:rsidR="00D079AC" w:rsidRPr="00D079AC">
        <w:rPr>
          <w:rFonts w:ascii="Arial" w:hAnsi="Arial" w:cs="Arial"/>
        </w:rPr>
        <w:t>ubíquese</w:t>
      </w:r>
      <w:r w:rsidR="00D079AC">
        <w:rPr>
          <w:rFonts w:ascii="Arial" w:hAnsi="Arial" w:cs="Arial"/>
        </w:rPr>
        <w:t xml:space="preserve"> y cumplido, </w:t>
      </w:r>
      <w:r w:rsidR="00D079AC" w:rsidRPr="00D079AC">
        <w:rPr>
          <w:rFonts w:ascii="Arial" w:hAnsi="Arial" w:cs="Arial"/>
        </w:rPr>
        <w:t>archívese</w:t>
      </w:r>
      <w:r w:rsidRPr="00D079AC">
        <w:rPr>
          <w:rFonts w:ascii="Arial" w:hAnsi="Arial" w:cs="Arial"/>
        </w:rPr>
        <w:t>.-</w:t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>DISPOSICION REGISTRAL N° 01/97.-</w:t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</w:p>
    <w:p w:rsidR="00C940C8" w:rsidRPr="00D079AC" w:rsidRDefault="00C940C8" w:rsidP="00D079AC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C940C8" w:rsidRPr="00D079AC" w:rsidRDefault="00E66BBB" w:rsidP="00D079AC">
      <w:pPr>
        <w:pStyle w:val="Standard"/>
        <w:spacing w:line="360" w:lineRule="auto"/>
        <w:jc w:val="both"/>
        <w:rPr>
          <w:rFonts w:ascii="Arial" w:hAnsi="Arial" w:cs="Arial"/>
        </w:rPr>
      </w:pP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  <w:r w:rsidRPr="00D079AC">
        <w:rPr>
          <w:rFonts w:ascii="Arial" w:hAnsi="Arial" w:cs="Arial"/>
        </w:rPr>
        <w:tab/>
      </w:r>
    </w:p>
    <w:sectPr w:rsidR="00C940C8" w:rsidRPr="00D079AC" w:rsidSect="00C940C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BBB" w:rsidRDefault="00E66BBB" w:rsidP="00C940C8">
      <w:r>
        <w:separator/>
      </w:r>
    </w:p>
  </w:endnote>
  <w:endnote w:type="continuationSeparator" w:id="0">
    <w:p w:rsidR="00E66BBB" w:rsidRDefault="00E66BBB" w:rsidP="00C94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BBB" w:rsidRDefault="00E66BBB" w:rsidP="00C940C8">
      <w:r w:rsidRPr="00C940C8">
        <w:rPr>
          <w:color w:val="000000"/>
        </w:rPr>
        <w:separator/>
      </w:r>
    </w:p>
  </w:footnote>
  <w:footnote w:type="continuationSeparator" w:id="0">
    <w:p w:rsidR="00E66BBB" w:rsidRDefault="00E66BBB" w:rsidP="00C94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40C8"/>
    <w:rsid w:val="00164DB5"/>
    <w:rsid w:val="002603F9"/>
    <w:rsid w:val="00C940C8"/>
    <w:rsid w:val="00D079AC"/>
    <w:rsid w:val="00E6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s-A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940C8"/>
  </w:style>
  <w:style w:type="paragraph" w:customStyle="1" w:styleId="Heading">
    <w:name w:val="Heading"/>
    <w:basedOn w:val="Standard"/>
    <w:next w:val="Textbody"/>
    <w:rsid w:val="00C940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940C8"/>
    <w:pPr>
      <w:spacing w:after="140" w:line="288" w:lineRule="auto"/>
    </w:pPr>
  </w:style>
  <w:style w:type="paragraph" w:styleId="Lista">
    <w:name w:val="List"/>
    <w:basedOn w:val="Textbody"/>
    <w:rsid w:val="00C940C8"/>
  </w:style>
  <w:style w:type="paragraph" w:customStyle="1" w:styleId="Caption">
    <w:name w:val="Caption"/>
    <w:basedOn w:val="Standard"/>
    <w:rsid w:val="00C940C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940C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2017-05-23T07:40:00Z</dcterms:created>
  <dcterms:modified xsi:type="dcterms:W3CDTF">2017-07-28T15:44:00Z</dcterms:modified>
</cp:coreProperties>
</file>